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12" w:rsidRPr="007137EA" w:rsidRDefault="003F1F12" w:rsidP="003F1F12">
      <w:pPr>
        <w:jc w:val="center"/>
        <w:rPr>
          <w:b/>
        </w:rPr>
      </w:pPr>
      <w:r w:rsidRPr="007137EA">
        <w:rPr>
          <w:b/>
        </w:rPr>
        <w:t>Critéir mheasúnaithe – cáiliú do dheontas (Grúpa C)</w:t>
      </w:r>
    </w:p>
    <w:p w:rsidR="003F1F12" w:rsidRPr="007137EA" w:rsidRDefault="003F1F12" w:rsidP="003F1F12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F67DD1" w:rsidRDefault="003F1F12" w:rsidP="0069417D">
            <w:pPr>
              <w:rPr>
                <w:b/>
              </w:rPr>
            </w:pPr>
            <w:proofErr w:type="spellStart"/>
            <w:r w:rsidRPr="00F67DD1">
              <w:rPr>
                <w:b/>
              </w:rPr>
              <w:t>Réamh</w:t>
            </w:r>
            <w:proofErr w:type="spellEnd"/>
            <w:r w:rsidRPr="00F67DD1">
              <w:rPr>
                <w:b/>
              </w:rPr>
              <w:t>-mheasúnú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 xml:space="preserve">Cruthúnas go bhfuil sé i gceist leabhair le daoine seachas úinéirí/stiúrthóirí </w:t>
            </w:r>
            <w:proofErr w:type="gramStart"/>
            <w:r w:rsidRPr="007137EA">
              <w:t>an</w:t>
            </w:r>
            <w:proofErr w:type="gramEnd"/>
            <w:r w:rsidRPr="007137EA">
              <w:t xml:space="preserve"> chomhlachta a fhoilsiú?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>Cruthúnas nach foilsitheoireacht aonuaire atá i gceist?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 xml:space="preserve">Cruthúnas go mbeidh </w:t>
            </w:r>
            <w:smartTag w:uri="urn:schemas-microsoft-com:office:smarttags" w:element="place">
              <w:smartTag w:uri="urn:schemas-microsoft-com:office:smarttags" w:element="City">
                <w:r w:rsidRPr="007137EA">
                  <w:t>bonn</w:t>
                </w:r>
              </w:smartTag>
            </w:smartTag>
            <w:r w:rsidRPr="007137EA">
              <w:t xml:space="preserve"> ceart gairmiúil faoin ghnó (cláraithe mar chuideachta, uimhir chánach, cuntas bainc srl.)  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>An bhfuil an iarratas ag teacht le rialacha na scéime?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>Ar comhlánaíodh an fhoirm iarratais ina hiomláine agus i gceart?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>An raibh an iarratas faighte ag an oifig roimh an spriocdháta?</w:t>
            </w:r>
          </w:p>
        </w:tc>
      </w:tr>
      <w:tr w:rsidR="003F1F12" w:rsidRPr="007137EA" w:rsidTr="0069417D">
        <w:tc>
          <w:tcPr>
            <w:tcW w:w="13068" w:type="dxa"/>
            <w:shd w:val="clear" w:color="auto" w:fill="auto"/>
          </w:tcPr>
          <w:p w:rsidR="003F1F12" w:rsidRPr="007137EA" w:rsidRDefault="003F1F12" w:rsidP="0069417D">
            <w:r w:rsidRPr="007137EA">
              <w:t>An bhfuil an cháipéisíocht cuí leis an iarratas (seicliosta)</w:t>
            </w:r>
          </w:p>
        </w:tc>
      </w:tr>
    </w:tbl>
    <w:p w:rsidR="003F1F12" w:rsidRPr="007137EA" w:rsidRDefault="003F1F12" w:rsidP="003F1F12"/>
    <w:p w:rsidR="003F1F12" w:rsidRPr="007137EA" w:rsidRDefault="003F1F12" w:rsidP="003F1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980"/>
      </w:tblGrid>
      <w:tr w:rsidR="003F1F12" w:rsidRPr="007137EA" w:rsidTr="0069417D">
        <w:tc>
          <w:tcPr>
            <w:tcW w:w="2088" w:type="dxa"/>
            <w:shd w:val="clear" w:color="auto" w:fill="auto"/>
          </w:tcPr>
          <w:p w:rsidR="003F1F12" w:rsidRPr="00F67DD1" w:rsidRDefault="003F1F12" w:rsidP="0069417D">
            <w:pPr>
              <w:rPr>
                <w:b/>
              </w:rPr>
            </w:pPr>
          </w:p>
        </w:tc>
        <w:tc>
          <w:tcPr>
            <w:tcW w:w="10980" w:type="dxa"/>
            <w:shd w:val="clear" w:color="auto" w:fill="auto"/>
          </w:tcPr>
          <w:p w:rsidR="003F1F12" w:rsidRPr="00F67DD1" w:rsidRDefault="003F1F12" w:rsidP="0069417D">
            <w:pPr>
              <w:rPr>
                <w:b/>
              </w:rPr>
            </w:pPr>
            <w:r w:rsidRPr="00F67DD1">
              <w:rPr>
                <w:b/>
              </w:rPr>
              <w:t>Treoirlínte marcála</w:t>
            </w:r>
          </w:p>
        </w:tc>
      </w:tr>
      <w:tr w:rsidR="003F1F12" w:rsidRPr="007137EA" w:rsidTr="0069417D">
        <w:trPr>
          <w:trHeight w:val="276"/>
        </w:trPr>
        <w:tc>
          <w:tcPr>
            <w:tcW w:w="2088" w:type="dxa"/>
            <w:vMerge w:val="restart"/>
            <w:shd w:val="clear" w:color="auto" w:fill="auto"/>
          </w:tcPr>
          <w:p w:rsidR="003F1F12" w:rsidRPr="007137EA" w:rsidRDefault="00393344" w:rsidP="0069417D">
            <w:r>
              <w:t>Taithí an iarr</w:t>
            </w:r>
            <w:r w:rsidR="003F1F12" w:rsidRPr="007137EA">
              <w:t>thóra ar an bhfoilsitheoireacht</w:t>
            </w:r>
          </w:p>
          <w:p w:rsidR="003F1F12" w:rsidRPr="007137EA" w:rsidRDefault="003F1F12" w:rsidP="0069417D"/>
          <w:p w:rsidR="003F1F12" w:rsidRPr="007137EA" w:rsidRDefault="003F1F12" w:rsidP="0069417D"/>
        </w:tc>
        <w:tc>
          <w:tcPr>
            <w:tcW w:w="10980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>An bhfuil taith</w:t>
            </w:r>
            <w:r>
              <w:t>í ag an iarr</w:t>
            </w:r>
            <w:r w:rsidR="000A7E9D">
              <w:t>thóir</w:t>
            </w:r>
            <w:r w:rsidRPr="007137EA">
              <w:t xml:space="preserve"> ar an bhfoilsitheoireacht?  An bhfuil cur chuige gairmiúil nó comhairle gairmiúil ar fáil acu?  (</w:t>
            </w:r>
            <w:proofErr w:type="spellStart"/>
            <w:r w:rsidRPr="007137EA">
              <w:t>msh</w:t>
            </w:r>
            <w:proofErr w:type="spellEnd"/>
            <w:r w:rsidRPr="007137EA">
              <w:t xml:space="preserve">, an bhfuil spriocanna ciallmhara leagtha amach acu?  </w:t>
            </w:r>
            <w:proofErr w:type="gramStart"/>
            <w:r w:rsidRPr="007137EA">
              <w:t>An</w:t>
            </w:r>
            <w:proofErr w:type="gramEnd"/>
            <w:r w:rsidRPr="007137EA">
              <w:t xml:space="preserve"> bhfuil córas acu chun fiúntas an tsaothair a mheas?</w:t>
            </w:r>
            <w:r w:rsidR="00393344">
              <w:t xml:space="preserve"> </w:t>
            </w:r>
            <w:proofErr w:type="gramStart"/>
            <w:r w:rsidRPr="007137EA">
              <w:t>An</w:t>
            </w:r>
            <w:proofErr w:type="gramEnd"/>
            <w:r w:rsidRPr="007137EA">
              <w:t xml:space="preserve"> bhfuil aon taighde cuí déanta acu?)</w:t>
            </w:r>
          </w:p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>Plean soiléir foilsitheoireachta</w:t>
            </w:r>
          </w:p>
        </w:tc>
        <w:tc>
          <w:tcPr>
            <w:tcW w:w="10980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 xml:space="preserve">An bhfuil sé le feiceáil go bhfuil plean soiléir foilsitheoireachta acu?  An bhfuil siad ag </w:t>
            </w:r>
            <w:proofErr w:type="spellStart"/>
            <w:r w:rsidRPr="007137EA">
              <w:t>diriú</w:t>
            </w:r>
            <w:proofErr w:type="spellEnd"/>
            <w:r w:rsidRPr="007137EA">
              <w:t xml:space="preserve"> ar réimsí áirithe litríochta agus ar mhargadh faoi leith?  </w:t>
            </w:r>
          </w:p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>Ag teacht le tosaíocht(</w:t>
            </w:r>
            <w:proofErr w:type="spellStart"/>
            <w:r w:rsidRPr="007137EA">
              <w:t>aí</w:t>
            </w:r>
            <w:proofErr w:type="spellEnd"/>
            <w:r w:rsidRPr="007137EA">
              <w:t>) maoinithe Scéim na Foilsitheoireachta?</w:t>
            </w:r>
          </w:p>
        </w:tc>
        <w:tc>
          <w:tcPr>
            <w:tcW w:w="10980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 xml:space="preserve">Tosaíochtaí Scéim na Foilsitheoireachta:  </w:t>
            </w:r>
          </w:p>
          <w:p w:rsidR="003F1F12" w:rsidRPr="007137EA" w:rsidRDefault="003F1F12" w:rsidP="0069417D">
            <w:pPr>
              <w:numPr>
                <w:ilvl w:val="0"/>
                <w:numId w:val="1"/>
              </w:numPr>
              <w:tabs>
                <w:tab w:val="left" w:pos="0"/>
              </w:tabs>
              <w:ind w:left="567" w:hanging="567"/>
              <w:jc w:val="both"/>
            </w:pPr>
            <w:r w:rsidRPr="007137EA">
              <w:t>Scríbhneoireacht, foilsitheoireacht agus léitheoireacht téacsanna úrnua i nGaeilge a chothú.</w:t>
            </w:r>
          </w:p>
          <w:p w:rsidR="003F1F12" w:rsidRPr="007137EA" w:rsidRDefault="003F1F12" w:rsidP="0069417D">
            <w:pPr>
              <w:numPr>
                <w:ilvl w:val="0"/>
                <w:numId w:val="1"/>
              </w:numPr>
              <w:tabs>
                <w:tab w:val="left" w:pos="0"/>
              </w:tabs>
              <w:ind w:left="567" w:hanging="567"/>
              <w:jc w:val="both"/>
            </w:pPr>
            <w:r w:rsidRPr="007137EA">
              <w:t>Scríbhneoireacht úrnua i nGaeilge a chur chun cinn</w:t>
            </w:r>
          </w:p>
          <w:p w:rsidR="0083498C" w:rsidRPr="00815936" w:rsidRDefault="0083498C" w:rsidP="0083498C">
            <w:pPr>
              <w:numPr>
                <w:ilvl w:val="0"/>
                <w:numId w:val="1"/>
              </w:numPr>
              <w:tabs>
                <w:tab w:val="left" w:pos="0"/>
              </w:tabs>
              <w:ind w:left="567" w:hanging="567"/>
              <w:jc w:val="both"/>
            </w:pPr>
            <w:r w:rsidRPr="00815936">
              <w:t xml:space="preserve">Saothair litríochta i nGaeilge </w:t>
            </w:r>
            <w:r>
              <w:t xml:space="preserve">atá ar ardchaighdeán maidir le hábhar agus le cur i láthair </w:t>
            </w:r>
            <w:r w:rsidRPr="00815936">
              <w:t>a chur os comhair an phobail</w:t>
            </w:r>
          </w:p>
          <w:p w:rsidR="003F1F12" w:rsidRPr="00F67DD1" w:rsidRDefault="003F1F12" w:rsidP="0069417D">
            <w:pPr>
              <w:numPr>
                <w:ilvl w:val="0"/>
                <w:numId w:val="1"/>
              </w:numPr>
              <w:tabs>
                <w:tab w:val="left" w:pos="0"/>
              </w:tabs>
              <w:ind w:left="567" w:hanging="567"/>
              <w:jc w:val="both"/>
              <w:rPr>
                <w:b/>
              </w:rPr>
            </w:pPr>
            <w:r w:rsidRPr="007137EA">
              <w:t>Eolas faoi fhoilsitheoireacht na Gaeilge a chur os comhair an phobail.</w:t>
            </w:r>
          </w:p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 xml:space="preserve">Cúrsaí airgeadais </w:t>
            </w:r>
          </w:p>
        </w:tc>
        <w:tc>
          <w:tcPr>
            <w:tcW w:w="10980" w:type="dxa"/>
            <w:vMerge w:val="restart"/>
            <w:shd w:val="clear" w:color="auto" w:fill="auto"/>
          </w:tcPr>
          <w:p w:rsidR="004E2BB6" w:rsidRDefault="003F1F12" w:rsidP="0069417D">
            <w:r w:rsidRPr="007137EA">
              <w:t xml:space="preserve">An bhfuil na costais luaite leis an bplean soiléir agus réalaíoch do na gnéithe luaite?  </w:t>
            </w:r>
          </w:p>
          <w:p w:rsidR="003F1F12" w:rsidRPr="004E2BB6" w:rsidRDefault="003F1F12" w:rsidP="004E2BB6">
            <w:pPr>
              <w:jc w:val="center"/>
            </w:pPr>
          </w:p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 w:val="restart"/>
            <w:shd w:val="clear" w:color="auto" w:fill="auto"/>
          </w:tcPr>
          <w:p w:rsidR="003F1F12" w:rsidRPr="007137EA" w:rsidRDefault="003F1F12" w:rsidP="0069417D">
            <w:r w:rsidRPr="007137EA">
              <w:t xml:space="preserve">Cuimsitheacht an </w:t>
            </w:r>
            <w:r w:rsidRPr="007137EA">
              <w:lastRenderedPageBreak/>
              <w:t>phlean – plean réadúil</w:t>
            </w:r>
          </w:p>
        </w:tc>
        <w:tc>
          <w:tcPr>
            <w:tcW w:w="10980" w:type="dxa"/>
            <w:vMerge w:val="restart"/>
            <w:shd w:val="clear" w:color="auto" w:fill="auto"/>
          </w:tcPr>
          <w:p w:rsidR="003F1F12" w:rsidRPr="007137EA" w:rsidRDefault="003F1F12" w:rsidP="00393344">
            <w:r w:rsidRPr="007137EA">
              <w:lastRenderedPageBreak/>
              <w:t>An bhfuil sé réad</w:t>
            </w:r>
            <w:r w:rsidR="00393344">
              <w:t>ú</w:t>
            </w:r>
            <w:r w:rsidRPr="007137EA">
              <w:t>il go mbe</w:t>
            </w:r>
            <w:bookmarkStart w:id="0" w:name="_GoBack"/>
            <w:bookmarkEnd w:id="0"/>
            <w:r w:rsidRPr="007137EA">
              <w:t>idh an comhlacht</w:t>
            </w:r>
            <w:r w:rsidR="006B5E56">
              <w:t xml:space="preserve"> foilsitheoireachta in ann an p</w:t>
            </w:r>
            <w:r w:rsidRPr="007137EA">
              <w:t xml:space="preserve">lean a chur i gcrích?  An bhfuil an </w:t>
            </w:r>
            <w:r w:rsidRPr="007137EA">
              <w:lastRenderedPageBreak/>
              <w:t xml:space="preserve">plean cuimsitheach?  </w:t>
            </w:r>
          </w:p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  <w:tr w:rsidR="003F1F12" w:rsidRPr="007137EA" w:rsidTr="0069417D">
        <w:trPr>
          <w:trHeight w:val="276"/>
        </w:trPr>
        <w:tc>
          <w:tcPr>
            <w:tcW w:w="2088" w:type="dxa"/>
            <w:vMerge/>
            <w:shd w:val="clear" w:color="auto" w:fill="auto"/>
          </w:tcPr>
          <w:p w:rsidR="003F1F12" w:rsidRPr="007137EA" w:rsidRDefault="003F1F12" w:rsidP="0069417D"/>
        </w:tc>
        <w:tc>
          <w:tcPr>
            <w:tcW w:w="10980" w:type="dxa"/>
            <w:vMerge/>
            <w:shd w:val="clear" w:color="auto" w:fill="auto"/>
          </w:tcPr>
          <w:p w:rsidR="003F1F12" w:rsidRPr="007137EA" w:rsidRDefault="003F1F12" w:rsidP="0069417D"/>
        </w:tc>
      </w:tr>
    </w:tbl>
    <w:p w:rsidR="003F1F12" w:rsidRPr="007137EA" w:rsidRDefault="003F1F12" w:rsidP="003F1F12"/>
    <w:p w:rsidR="003F1F12" w:rsidRPr="007137EA" w:rsidRDefault="003F1F12" w:rsidP="003F1F12"/>
    <w:p w:rsidR="003F1F12" w:rsidRPr="007137EA" w:rsidRDefault="003F1F12" w:rsidP="003F1F12">
      <w:r w:rsidRPr="001C0E60">
        <w:t xml:space="preserve">Má fhaigheann an t-iarratas 0 in aon cheann de na rannóga thuas, dí-cháileofar an t-iarratas.  Is gá freisin rialacha na scéime a chomhlíonadh agus 55% a fháil chun cáiliú don scéim.  Ina dhiaidh sin, tosófar ag dáileadh an chiste, ag tosú leis an iarratas a fuair </w:t>
      </w:r>
      <w:proofErr w:type="spellStart"/>
      <w:r w:rsidRPr="001C0E60">
        <w:t>an</w:t>
      </w:r>
      <w:proofErr w:type="spellEnd"/>
      <w:r w:rsidRPr="001C0E60">
        <w:t xml:space="preserve"> marc is airde go dtí go bhfuil an ciste ídithe nó nach bhfuil aon iarratais cáilithe fágtha.</w:t>
      </w:r>
      <w:r w:rsidRPr="007137EA">
        <w:t xml:space="preserve"> </w:t>
      </w:r>
    </w:p>
    <w:p w:rsidR="003F1F12" w:rsidRPr="007137EA" w:rsidRDefault="003F1F12" w:rsidP="003F1F12"/>
    <w:p w:rsidR="00B72DD9" w:rsidRDefault="00B72DD9"/>
    <w:sectPr w:rsidR="00B72DD9" w:rsidSect="003F1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2"/>
    <w:rsid w:val="000A7E9D"/>
    <w:rsid w:val="00166DDC"/>
    <w:rsid w:val="00393344"/>
    <w:rsid w:val="003F1F12"/>
    <w:rsid w:val="004E2BB6"/>
    <w:rsid w:val="006B5E56"/>
    <w:rsid w:val="0083498C"/>
    <w:rsid w:val="00AD0D9F"/>
    <w:rsid w:val="00B72DD9"/>
    <w:rsid w:val="00C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Aedín Ní Bhroin</dc:creator>
  <cp:lastModifiedBy>Anna Davitt</cp:lastModifiedBy>
  <cp:revision>3</cp:revision>
  <dcterms:created xsi:type="dcterms:W3CDTF">2015-07-14T11:24:00Z</dcterms:created>
  <dcterms:modified xsi:type="dcterms:W3CDTF">2015-07-14T17:09:00Z</dcterms:modified>
</cp:coreProperties>
</file>