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oifig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amháin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in writing</w:t>
      </w:r>
      <w:r w:rsidR="0012622F">
        <w:rPr>
          <w:lang w:val="en-IE"/>
        </w:rPr>
        <w:t xml:space="preserve"> and you are not required to complete this checklist</w:t>
      </w:r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places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requirement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authority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abuser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intentionally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recklessly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endanger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leaving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placing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them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substantial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harm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abuse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committed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failed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reasonable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steps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know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criminal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withholding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commission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against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under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18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otherwise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vulnerable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may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have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neglected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at </w:t>
      </w:r>
      <w:proofErr w:type="spellStart"/>
      <w:r w:rsidRPr="006F0D9C">
        <w:rPr>
          <w:sz w:val="16"/>
        </w:rPr>
        <w:t>risk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including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settings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State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under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Act</w:t>
      </w:r>
      <w:proofErr w:type="spellEnd"/>
      <w:r w:rsidRPr="006F0D9C">
        <w:rPr>
          <w:sz w:val="16"/>
        </w:rPr>
        <w:t xml:space="preserve"> 1991 (</w:t>
      </w:r>
      <w:proofErr w:type="spellStart"/>
      <w:r w:rsidRPr="006F0D9C">
        <w:rPr>
          <w:sz w:val="16"/>
        </w:rPr>
        <w:t>foster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relative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);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homeless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with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disabilities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separated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seeking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asylum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trafficked</w:t>
      </w:r>
      <w:proofErr w:type="spellEnd"/>
      <w:r w:rsidRPr="006F0D9C">
        <w:rPr>
          <w:sz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32B55">
    <w:pPr>
      <w:pStyle w:val="Header"/>
      <w:rPr>
        <w:lang w:val="en-IE"/>
      </w:rPr>
    </w:pPr>
    <w:r>
      <w:rPr>
        <w:lang w:val="en-IE"/>
      </w:rPr>
      <w:t>07/03/2019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684992"/>
    <w:rsid w:val="006F0D9C"/>
    <w:rsid w:val="00724BBC"/>
    <w:rsid w:val="0076107A"/>
    <w:rsid w:val="007A3BA0"/>
    <w:rsid w:val="007A7A6A"/>
    <w:rsid w:val="007E7AEB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C6DFF"/>
    <w:rsid w:val="00CE0DD0"/>
    <w:rsid w:val="00DD1094"/>
    <w:rsid w:val="00E01063"/>
    <w:rsid w:val="00F645E3"/>
    <w:rsid w:val="00F660AF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263F-76A2-4FB2-9BED-DE00606E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2021-02-02T15:14:00Z</dcterms:created>
  <dcterms:modified xsi:type="dcterms:W3CDTF">2021-02-02T15:14:00Z</dcterms:modified>
</cp:coreProperties>
</file>