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034B" w14:textId="77777777" w:rsidR="004F271A" w:rsidRPr="00B440AE" w:rsidRDefault="004F271A" w:rsidP="004F271A">
      <w:pPr>
        <w:spacing w:after="0" w:line="360" w:lineRule="auto"/>
        <w:jc w:val="center"/>
        <w:rPr>
          <w:b/>
          <w:color w:val="1F497D" w:themeColor="text2"/>
        </w:rPr>
      </w:pPr>
      <w:r>
        <w:rPr>
          <w:b/>
          <w:bCs/>
          <w:color w:val="1F497D" w:themeColor="text2"/>
          <w:lang w:val="en"/>
        </w:rPr>
        <w:t>Terms and Conditions</w:t>
      </w:r>
    </w:p>
    <w:p w14:paraId="677C2757" w14:textId="77777777" w:rsidR="006304F7" w:rsidRPr="004F271A" w:rsidRDefault="006304F7" w:rsidP="006304F7">
      <w:pPr>
        <w:spacing w:after="0" w:line="360" w:lineRule="auto"/>
        <w:jc w:val="both"/>
        <w:rPr>
          <w:color w:val="1F497D" w:themeColor="text2"/>
        </w:rPr>
      </w:pPr>
    </w:p>
    <w:p w14:paraId="20FE1F4E" w14:textId="77777777" w:rsidR="006304F7" w:rsidRPr="002C6A08" w:rsidRDefault="006304F7" w:rsidP="00312E1C">
      <w:pPr>
        <w:spacing w:after="0" w:line="360" w:lineRule="auto"/>
        <w:rPr>
          <w:b/>
          <w:color w:val="1F497D" w:themeColor="text2"/>
        </w:rPr>
      </w:pPr>
      <w:r>
        <w:rPr>
          <w:b/>
          <w:bCs/>
          <w:color w:val="1F497D" w:themeColor="text2"/>
          <w:lang w:val="en"/>
        </w:rPr>
        <w:t>Programme of work</w:t>
      </w:r>
    </w:p>
    <w:p w14:paraId="56D5F421" w14:textId="1B8BA70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 xml:space="preserve">The applicant will discuss and agree in writing with Foras na Gaeilge any change to any </w:t>
      </w:r>
      <w:r w:rsidRPr="005300AD">
        <w:rPr>
          <w:color w:val="1F497D" w:themeColor="text2"/>
          <w:lang w:val="en"/>
        </w:rPr>
        <w:t>aspect of the programme of work or to the agreed budget for the period up to 31 December 20</w:t>
      </w:r>
      <w:r w:rsidR="005300AD" w:rsidRPr="005300AD">
        <w:rPr>
          <w:color w:val="1F497D" w:themeColor="text2"/>
          <w:lang w:val="en"/>
        </w:rPr>
        <w:t>2</w:t>
      </w:r>
      <w:r w:rsidR="000E33B6">
        <w:rPr>
          <w:color w:val="1F497D" w:themeColor="text2"/>
          <w:lang w:val="en"/>
        </w:rPr>
        <w:t>4</w:t>
      </w:r>
      <w:r w:rsidRPr="005300AD">
        <w:rPr>
          <w:color w:val="1F497D" w:themeColor="text2"/>
          <w:lang w:val="en"/>
        </w:rPr>
        <w:t>.</w:t>
      </w:r>
    </w:p>
    <w:p w14:paraId="69038674"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The organisation will operate as an independent contractor and not as an agent of Foras na Gaeilge.</w:t>
      </w:r>
    </w:p>
    <w:p w14:paraId="474A02A2" w14:textId="77777777" w:rsidR="006304F7" w:rsidRPr="00B440AE" w:rsidRDefault="006304F7" w:rsidP="00312E1C">
      <w:pPr>
        <w:spacing w:after="0" w:line="360" w:lineRule="auto"/>
        <w:rPr>
          <w:color w:val="1F497D" w:themeColor="text2"/>
        </w:rPr>
      </w:pPr>
    </w:p>
    <w:p w14:paraId="7D53C94E" w14:textId="77777777" w:rsidR="006304F7" w:rsidRPr="002C6A08" w:rsidRDefault="006304F7" w:rsidP="00312E1C">
      <w:pPr>
        <w:spacing w:after="0" w:line="360" w:lineRule="auto"/>
        <w:rPr>
          <w:b/>
          <w:color w:val="1F497D" w:themeColor="text2"/>
        </w:rPr>
      </w:pPr>
      <w:r>
        <w:rPr>
          <w:b/>
          <w:bCs/>
          <w:color w:val="1F497D" w:themeColor="text2"/>
          <w:lang w:val="en"/>
        </w:rPr>
        <w:t>Cooperation</w:t>
      </w:r>
    </w:p>
    <w:p w14:paraId="125EA7FB"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The applicant will encourage and foster cooperation with other related groups, on a national and local basis, to promote the Irish language in the most effective way.</w:t>
      </w:r>
    </w:p>
    <w:p w14:paraId="545EF85D" w14:textId="77777777" w:rsidR="006304F7" w:rsidRPr="00B440AE" w:rsidRDefault="006304F7" w:rsidP="00312E1C">
      <w:pPr>
        <w:spacing w:after="0" w:line="360" w:lineRule="auto"/>
        <w:rPr>
          <w:color w:val="1F497D" w:themeColor="text2"/>
        </w:rPr>
      </w:pPr>
    </w:p>
    <w:p w14:paraId="5A6AD9C1" w14:textId="77777777" w:rsidR="006304F7" w:rsidRPr="002C6A08" w:rsidRDefault="006304F7" w:rsidP="006304F7">
      <w:pPr>
        <w:spacing w:after="0" w:line="360" w:lineRule="auto"/>
        <w:jc w:val="both"/>
        <w:rPr>
          <w:b/>
          <w:color w:val="1F497D" w:themeColor="text2"/>
        </w:rPr>
      </w:pPr>
      <w:r>
        <w:rPr>
          <w:b/>
          <w:bCs/>
          <w:color w:val="1F497D" w:themeColor="text2"/>
          <w:lang w:val="en"/>
        </w:rPr>
        <w:t>Responsibility for the grant</w:t>
      </w:r>
    </w:p>
    <w:p w14:paraId="5030B660" w14:textId="10F819F1" w:rsidR="006304F7" w:rsidRDefault="006304F7" w:rsidP="00312E1C">
      <w:pPr>
        <w:spacing w:after="0" w:line="360" w:lineRule="auto"/>
        <w:ind w:left="709" w:hanging="709"/>
        <w:rPr>
          <w:color w:val="1F497D" w:themeColor="text2"/>
          <w:lang w:val="en"/>
        </w:rPr>
      </w:pPr>
      <w:r>
        <w:rPr>
          <w:color w:val="1F497D" w:themeColor="text2"/>
          <w:lang w:val="en"/>
        </w:rPr>
        <w:t>•</w:t>
      </w:r>
      <w:r>
        <w:rPr>
          <w:color w:val="1F497D" w:themeColor="text2"/>
          <w:lang w:val="en"/>
        </w:rPr>
        <w:tab/>
        <w:t>The applicant will seek tenders in accordance with the following guidelines:</w:t>
      </w:r>
    </w:p>
    <w:tbl>
      <w:tblPr>
        <w:tblW w:w="0" w:type="auto"/>
        <w:tblInd w:w="360" w:type="dxa"/>
        <w:tblCellMar>
          <w:left w:w="0" w:type="dxa"/>
          <w:right w:w="0" w:type="dxa"/>
        </w:tblCellMar>
        <w:tblLook w:val="04A0" w:firstRow="1" w:lastRow="0" w:firstColumn="1" w:lastColumn="0" w:noHBand="0" w:noVBand="1"/>
      </w:tblPr>
      <w:tblGrid>
        <w:gridCol w:w="2950"/>
        <w:gridCol w:w="5729"/>
      </w:tblGrid>
      <w:tr w:rsidR="0001362F" w14:paraId="5C902F50" w14:textId="77777777" w:rsidTr="0001362F">
        <w:tc>
          <w:tcPr>
            <w:tcW w:w="2950" w:type="dxa"/>
            <w:tcBorders>
              <w:top w:val="single" w:sz="8" w:space="0" w:color="2F5496"/>
              <w:left w:val="single" w:sz="8" w:space="0" w:color="2F5496"/>
              <w:bottom w:val="single" w:sz="8" w:space="0" w:color="2F5496"/>
              <w:right w:val="single" w:sz="8" w:space="0" w:color="2F5496"/>
            </w:tcBorders>
            <w:tcMar>
              <w:top w:w="0" w:type="dxa"/>
              <w:left w:w="108" w:type="dxa"/>
              <w:bottom w:w="0" w:type="dxa"/>
              <w:right w:w="108" w:type="dxa"/>
            </w:tcMar>
            <w:hideMark/>
          </w:tcPr>
          <w:p w14:paraId="7A50B7A8" w14:textId="77777777" w:rsidR="0001362F" w:rsidRDefault="0001362F">
            <w:pPr>
              <w:spacing w:line="360" w:lineRule="auto"/>
              <w:jc w:val="both"/>
            </w:pPr>
            <w:r>
              <w:rPr>
                <w:b/>
                <w:bCs/>
                <w:color w:val="2F5597"/>
                <w:lang w:val="en-US"/>
              </w:rPr>
              <w:t>Thresholds</w:t>
            </w:r>
          </w:p>
        </w:tc>
        <w:tc>
          <w:tcPr>
            <w:tcW w:w="5729" w:type="dxa"/>
            <w:tcBorders>
              <w:top w:val="single" w:sz="8" w:space="0" w:color="2F5496"/>
              <w:left w:val="nil"/>
              <w:bottom w:val="single" w:sz="8" w:space="0" w:color="2F5496"/>
              <w:right w:val="single" w:sz="8" w:space="0" w:color="2F5496"/>
            </w:tcBorders>
            <w:tcMar>
              <w:top w:w="0" w:type="dxa"/>
              <w:left w:w="108" w:type="dxa"/>
              <w:bottom w:w="0" w:type="dxa"/>
              <w:right w:w="108" w:type="dxa"/>
            </w:tcMar>
            <w:hideMark/>
          </w:tcPr>
          <w:p w14:paraId="4A1D2E90" w14:textId="77777777" w:rsidR="0001362F" w:rsidRPr="0001362F" w:rsidRDefault="0001362F">
            <w:pPr>
              <w:spacing w:line="360" w:lineRule="auto"/>
              <w:jc w:val="both"/>
              <w:rPr>
                <w:b/>
                <w:bCs/>
              </w:rPr>
            </w:pPr>
            <w:r w:rsidRPr="0001362F">
              <w:rPr>
                <w:b/>
                <w:bCs/>
                <w:color w:val="2F5597"/>
                <w:lang w:val="en-US"/>
              </w:rPr>
              <w:t xml:space="preserve">The associated amount / types of tenders </w:t>
            </w:r>
          </w:p>
        </w:tc>
      </w:tr>
      <w:tr w:rsidR="0001362F" w14:paraId="4C8ADD84" w14:textId="77777777" w:rsidTr="0001362F">
        <w:tc>
          <w:tcPr>
            <w:tcW w:w="2950" w:type="dxa"/>
            <w:tcBorders>
              <w:top w:val="nil"/>
              <w:left w:val="single" w:sz="8" w:space="0" w:color="2F5496"/>
              <w:bottom w:val="single" w:sz="8" w:space="0" w:color="2F5496"/>
              <w:right w:val="single" w:sz="8" w:space="0" w:color="2F5496"/>
            </w:tcBorders>
            <w:tcMar>
              <w:top w:w="0" w:type="dxa"/>
              <w:left w:w="108" w:type="dxa"/>
              <w:bottom w:w="0" w:type="dxa"/>
              <w:right w:w="108" w:type="dxa"/>
            </w:tcMar>
            <w:hideMark/>
          </w:tcPr>
          <w:p w14:paraId="22740A93" w14:textId="77777777" w:rsidR="0001362F" w:rsidRDefault="0001362F">
            <w:pPr>
              <w:spacing w:line="360" w:lineRule="auto"/>
            </w:pPr>
            <w:r>
              <w:rPr>
                <w:color w:val="2F5597"/>
                <w:lang w:val="en-US"/>
              </w:rPr>
              <w:t>Up to €6,000 / £5,000</w:t>
            </w:r>
          </w:p>
        </w:tc>
        <w:tc>
          <w:tcPr>
            <w:tcW w:w="5729" w:type="dxa"/>
            <w:tcBorders>
              <w:top w:val="nil"/>
              <w:left w:val="nil"/>
              <w:bottom w:val="single" w:sz="8" w:space="0" w:color="2F5496"/>
              <w:right w:val="single" w:sz="8" w:space="0" w:color="2F5496"/>
            </w:tcBorders>
            <w:tcMar>
              <w:top w:w="0" w:type="dxa"/>
              <w:left w:w="108" w:type="dxa"/>
              <w:bottom w:w="0" w:type="dxa"/>
              <w:right w:w="108" w:type="dxa"/>
            </w:tcMar>
            <w:hideMark/>
          </w:tcPr>
          <w:p w14:paraId="4CCC1693" w14:textId="77777777" w:rsidR="0001362F" w:rsidRDefault="0001362F">
            <w:pPr>
              <w:spacing w:line="360" w:lineRule="auto"/>
              <w:jc w:val="both"/>
            </w:pPr>
            <w:r>
              <w:rPr>
                <w:color w:val="2F5597"/>
                <w:lang w:val="en-US"/>
              </w:rPr>
              <w:t>The business mus</w:t>
            </w:r>
            <w:r w:rsidRPr="0001362F">
              <w:rPr>
                <w:color w:val="365F91" w:themeColor="accent1" w:themeShade="BF"/>
                <w:lang w:val="en-US"/>
              </w:rPr>
              <w:t xml:space="preserve">t demonstrate </w:t>
            </w:r>
            <w:r>
              <w:rPr>
                <w:color w:val="2F5597"/>
                <w:lang w:val="en-US"/>
              </w:rPr>
              <w:t>that value for money was achieved</w:t>
            </w:r>
          </w:p>
        </w:tc>
      </w:tr>
      <w:tr w:rsidR="0001362F" w14:paraId="3BD328D4" w14:textId="77777777" w:rsidTr="0001362F">
        <w:tc>
          <w:tcPr>
            <w:tcW w:w="2950" w:type="dxa"/>
            <w:tcBorders>
              <w:top w:val="nil"/>
              <w:left w:val="single" w:sz="8" w:space="0" w:color="2F5496"/>
              <w:bottom w:val="single" w:sz="8" w:space="0" w:color="2F5496"/>
              <w:right w:val="single" w:sz="8" w:space="0" w:color="2F5496"/>
            </w:tcBorders>
            <w:tcMar>
              <w:top w:w="0" w:type="dxa"/>
              <w:left w:w="108" w:type="dxa"/>
              <w:bottom w:w="0" w:type="dxa"/>
              <w:right w:w="108" w:type="dxa"/>
            </w:tcMar>
            <w:hideMark/>
          </w:tcPr>
          <w:p w14:paraId="0661022C" w14:textId="77777777" w:rsidR="0001362F" w:rsidRDefault="0001362F">
            <w:pPr>
              <w:spacing w:line="360" w:lineRule="auto"/>
            </w:pPr>
            <w:r>
              <w:rPr>
                <w:color w:val="2F5597"/>
                <w:lang w:val="en-US"/>
              </w:rPr>
              <w:t>From €6,000 / £5,000 to €35,000/£30,000</w:t>
            </w:r>
          </w:p>
        </w:tc>
        <w:tc>
          <w:tcPr>
            <w:tcW w:w="5729" w:type="dxa"/>
            <w:tcBorders>
              <w:top w:val="nil"/>
              <w:left w:val="nil"/>
              <w:bottom w:val="single" w:sz="8" w:space="0" w:color="2F5496"/>
              <w:right w:val="single" w:sz="8" w:space="0" w:color="2F5496"/>
            </w:tcBorders>
            <w:tcMar>
              <w:top w:w="0" w:type="dxa"/>
              <w:left w:w="108" w:type="dxa"/>
              <w:bottom w:w="0" w:type="dxa"/>
              <w:right w:w="108" w:type="dxa"/>
            </w:tcMar>
            <w:hideMark/>
          </w:tcPr>
          <w:p w14:paraId="6F8AD325" w14:textId="77777777" w:rsidR="0001362F" w:rsidRDefault="0001362F">
            <w:pPr>
              <w:spacing w:line="360" w:lineRule="auto"/>
              <w:jc w:val="both"/>
            </w:pPr>
            <w:r>
              <w:rPr>
                <w:color w:val="2F5597"/>
                <w:lang w:val="en-US"/>
              </w:rPr>
              <w:t>At least three tenders requested by the authorised person to make procurement on behalf of the organisation</w:t>
            </w:r>
          </w:p>
        </w:tc>
      </w:tr>
      <w:tr w:rsidR="0001362F" w14:paraId="2BF2D511" w14:textId="77777777" w:rsidTr="0001362F">
        <w:trPr>
          <w:trHeight w:val="756"/>
        </w:trPr>
        <w:tc>
          <w:tcPr>
            <w:tcW w:w="2950" w:type="dxa"/>
            <w:tcBorders>
              <w:top w:val="nil"/>
              <w:left w:val="single" w:sz="8" w:space="0" w:color="2F5496"/>
              <w:bottom w:val="single" w:sz="8" w:space="0" w:color="2F5496"/>
              <w:right w:val="single" w:sz="8" w:space="0" w:color="2F5496"/>
            </w:tcBorders>
            <w:tcMar>
              <w:top w:w="0" w:type="dxa"/>
              <w:left w:w="108" w:type="dxa"/>
              <w:bottom w:w="0" w:type="dxa"/>
              <w:right w:w="108" w:type="dxa"/>
            </w:tcMar>
            <w:hideMark/>
          </w:tcPr>
          <w:p w14:paraId="2ED2268E" w14:textId="1FA58825" w:rsidR="0001362F" w:rsidRDefault="0001362F">
            <w:pPr>
              <w:spacing w:line="360" w:lineRule="auto"/>
            </w:pPr>
            <w:r>
              <w:rPr>
                <w:color w:val="2F5597"/>
                <w:lang w:val="en-US"/>
              </w:rPr>
              <w:t>From €35,000/£30,000 to EU thresholds</w:t>
            </w:r>
          </w:p>
        </w:tc>
        <w:tc>
          <w:tcPr>
            <w:tcW w:w="5729" w:type="dxa"/>
            <w:tcBorders>
              <w:top w:val="nil"/>
              <w:left w:val="nil"/>
              <w:bottom w:val="single" w:sz="8" w:space="0" w:color="2F5496"/>
              <w:right w:val="single" w:sz="8" w:space="0" w:color="2F5496"/>
            </w:tcBorders>
            <w:tcMar>
              <w:top w:w="0" w:type="dxa"/>
              <w:left w:w="108" w:type="dxa"/>
              <w:bottom w:w="0" w:type="dxa"/>
              <w:right w:w="108" w:type="dxa"/>
            </w:tcMar>
            <w:hideMark/>
          </w:tcPr>
          <w:p w14:paraId="4AD01643" w14:textId="77777777" w:rsidR="0001362F" w:rsidRDefault="0001362F">
            <w:pPr>
              <w:spacing w:line="360" w:lineRule="auto"/>
              <w:jc w:val="both"/>
            </w:pPr>
            <w:r>
              <w:rPr>
                <w:color w:val="2F5597"/>
                <w:lang w:val="en-US"/>
              </w:rPr>
              <w:t>Publicly advertised tender contest</w:t>
            </w:r>
          </w:p>
        </w:tc>
      </w:tr>
      <w:tr w:rsidR="0001362F" w14:paraId="434D8D99" w14:textId="77777777" w:rsidTr="0001362F">
        <w:tc>
          <w:tcPr>
            <w:tcW w:w="2950" w:type="dxa"/>
            <w:tcBorders>
              <w:top w:val="nil"/>
              <w:left w:val="single" w:sz="8" w:space="0" w:color="2F5496"/>
              <w:bottom w:val="single" w:sz="8" w:space="0" w:color="2F5496"/>
              <w:right w:val="single" w:sz="8" w:space="0" w:color="2F5496"/>
            </w:tcBorders>
            <w:tcMar>
              <w:top w:w="0" w:type="dxa"/>
              <w:left w:w="108" w:type="dxa"/>
              <w:bottom w:w="0" w:type="dxa"/>
              <w:right w:w="108" w:type="dxa"/>
            </w:tcMar>
            <w:hideMark/>
          </w:tcPr>
          <w:p w14:paraId="1DE4C704" w14:textId="77777777" w:rsidR="0001362F" w:rsidRDefault="0001362F">
            <w:pPr>
              <w:spacing w:line="360" w:lineRule="auto"/>
            </w:pPr>
            <w:r>
              <w:rPr>
                <w:color w:val="2F5597"/>
                <w:lang w:val="en-US"/>
              </w:rPr>
              <w:t>Above EU thresholds</w:t>
            </w:r>
          </w:p>
        </w:tc>
        <w:tc>
          <w:tcPr>
            <w:tcW w:w="5729" w:type="dxa"/>
            <w:tcBorders>
              <w:top w:val="nil"/>
              <w:left w:val="nil"/>
              <w:bottom w:val="single" w:sz="8" w:space="0" w:color="2F5496"/>
              <w:right w:val="single" w:sz="8" w:space="0" w:color="2F5496"/>
            </w:tcBorders>
            <w:tcMar>
              <w:top w:w="0" w:type="dxa"/>
              <w:left w:w="108" w:type="dxa"/>
              <w:bottom w:w="0" w:type="dxa"/>
              <w:right w:w="108" w:type="dxa"/>
            </w:tcMar>
            <w:hideMark/>
          </w:tcPr>
          <w:p w14:paraId="5F6C3EC0" w14:textId="1E64CC4F" w:rsidR="0001362F" w:rsidRDefault="0001362F">
            <w:pPr>
              <w:spacing w:line="360" w:lineRule="auto"/>
              <w:jc w:val="both"/>
            </w:pPr>
            <w:r>
              <w:rPr>
                <w:color w:val="2F5597"/>
                <w:lang w:val="en-US"/>
              </w:rPr>
              <w:t>Publicly advertised tender contest and:</w:t>
            </w:r>
          </w:p>
          <w:p w14:paraId="56B044D5" w14:textId="77777777" w:rsidR="0001362F" w:rsidRDefault="0001362F">
            <w:pPr>
              <w:spacing w:line="360" w:lineRule="auto"/>
              <w:jc w:val="both"/>
            </w:pPr>
            <w:r>
              <w:rPr>
                <w:color w:val="2F5597"/>
              </w:rPr>
              <w:t>EU guidelines apply – it must be advertised in an official EU magazine</w:t>
            </w:r>
          </w:p>
        </w:tc>
      </w:tr>
    </w:tbl>
    <w:p w14:paraId="70C04441" w14:textId="1B0774F7" w:rsidR="0001362F" w:rsidRDefault="0001362F" w:rsidP="0001362F">
      <w:pPr>
        <w:spacing w:after="0" w:line="360" w:lineRule="auto"/>
        <w:rPr>
          <w:color w:val="1F497D" w:themeColor="text2"/>
          <w:lang w:val="en"/>
        </w:rPr>
      </w:pPr>
    </w:p>
    <w:p w14:paraId="0278AA8C" w14:textId="3138F5FA" w:rsidR="006304F7" w:rsidRPr="00B440AE" w:rsidRDefault="006304F7" w:rsidP="0001362F">
      <w:pPr>
        <w:spacing w:after="0" w:line="360" w:lineRule="auto"/>
        <w:ind w:left="720" w:hanging="720"/>
        <w:rPr>
          <w:color w:val="1F497D" w:themeColor="text2"/>
        </w:rPr>
      </w:pPr>
      <w:r>
        <w:rPr>
          <w:color w:val="1F497D" w:themeColor="text2"/>
          <w:lang w:val="en"/>
        </w:rPr>
        <w:t>•</w:t>
      </w:r>
      <w:r>
        <w:rPr>
          <w:color w:val="1F497D" w:themeColor="text2"/>
          <w:lang w:val="en"/>
        </w:rPr>
        <w:tab/>
        <w:t>The organisation will complete the programme of work in such a way as to ensure that they</w:t>
      </w:r>
      <w:r w:rsidR="0001362F">
        <w:rPr>
          <w:color w:val="1F497D" w:themeColor="text2"/>
          <w:lang w:val="en"/>
        </w:rPr>
        <w:t xml:space="preserve"> </w:t>
      </w:r>
      <w:r>
        <w:rPr>
          <w:color w:val="1F497D" w:themeColor="text2"/>
          <w:lang w:val="en"/>
        </w:rPr>
        <w:t>will make the most effective and most economic possible use made of the grant approved by Foras na Gaeilge.</w:t>
      </w:r>
    </w:p>
    <w:p w14:paraId="6A3372CE"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 xml:space="preserve">The applicant will adhere to the payment claim process as set out by Foras na Gaeilge. </w:t>
      </w:r>
    </w:p>
    <w:p w14:paraId="52C840A6" w14:textId="434E266D" w:rsidR="006304F7" w:rsidRPr="00B440AE" w:rsidRDefault="006304F7" w:rsidP="00312E1C">
      <w:pPr>
        <w:spacing w:after="0" w:line="360" w:lineRule="auto"/>
        <w:ind w:left="720" w:hanging="720"/>
        <w:rPr>
          <w:color w:val="1F497D" w:themeColor="text2"/>
        </w:rPr>
      </w:pPr>
      <w:r>
        <w:rPr>
          <w:color w:val="1F497D" w:themeColor="text2"/>
          <w:lang w:val="en"/>
        </w:rPr>
        <w:lastRenderedPageBreak/>
        <w:t>•</w:t>
      </w:r>
      <w:r>
        <w:rPr>
          <w:color w:val="1F497D" w:themeColor="text2"/>
          <w:lang w:val="en"/>
        </w:rPr>
        <w:tab/>
        <w:t xml:space="preserve">Foras na Gaeilge will cancel any part of the grant for which Foras na Gaeilge does not receive a complete payment claim before </w:t>
      </w:r>
      <w:r w:rsidRPr="005300AD">
        <w:rPr>
          <w:color w:val="1F497D" w:themeColor="text2"/>
          <w:lang w:val="en"/>
        </w:rPr>
        <w:t xml:space="preserve">the last week of November </w:t>
      </w:r>
      <w:r w:rsidR="005300AD" w:rsidRPr="005300AD">
        <w:rPr>
          <w:color w:val="1F497D" w:themeColor="text2"/>
          <w:lang w:val="en"/>
        </w:rPr>
        <w:t>202</w:t>
      </w:r>
      <w:r w:rsidR="00575DE2">
        <w:rPr>
          <w:color w:val="1F497D" w:themeColor="text2"/>
          <w:lang w:val="en"/>
        </w:rPr>
        <w:t>4</w:t>
      </w:r>
      <w:r>
        <w:rPr>
          <w:color w:val="1F497D" w:themeColor="text2"/>
          <w:lang w:val="en"/>
        </w:rPr>
        <w:t xml:space="preserve"> unless Foras na Gaeilge and the applicant agree otherwise.</w:t>
      </w:r>
    </w:p>
    <w:p w14:paraId="6764FBCA" w14:textId="6FD993F6"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 xml:space="preserve">The organisation, as a grantee of the exchequer, must fulfill their management and accountability duties and requirements in regard to spending. </w:t>
      </w:r>
    </w:p>
    <w:p w14:paraId="281C6C45" w14:textId="77777777" w:rsidR="006304F7" w:rsidRPr="00B440AE" w:rsidRDefault="006304F7" w:rsidP="00312E1C">
      <w:pPr>
        <w:spacing w:after="0" w:line="360" w:lineRule="auto"/>
        <w:rPr>
          <w:color w:val="1F497D" w:themeColor="text2"/>
        </w:rPr>
      </w:pPr>
    </w:p>
    <w:p w14:paraId="34C05D73" w14:textId="77777777" w:rsidR="006304F7" w:rsidRPr="00B440AE" w:rsidRDefault="006304F7" w:rsidP="006304F7">
      <w:pPr>
        <w:spacing w:after="0" w:line="360" w:lineRule="auto"/>
        <w:jc w:val="both"/>
        <w:rPr>
          <w:color w:val="1F497D" w:themeColor="text2"/>
        </w:rPr>
      </w:pPr>
    </w:p>
    <w:p w14:paraId="52CDDA92" w14:textId="77777777" w:rsidR="001A075C" w:rsidRDefault="00F540ED" w:rsidP="00312E1C">
      <w:pPr>
        <w:spacing w:line="360" w:lineRule="auto"/>
        <w:rPr>
          <w:b/>
          <w:bCs/>
          <w:color w:val="1F497D"/>
        </w:rPr>
      </w:pPr>
      <w:r>
        <w:rPr>
          <w:b/>
          <w:bCs/>
          <w:color w:val="1F497D"/>
          <w:lang w:val="en"/>
        </w:rPr>
        <w:t>Publicity</w:t>
      </w:r>
    </w:p>
    <w:p w14:paraId="3E46EC0E" w14:textId="77777777" w:rsidR="00F540ED" w:rsidRPr="001A075C" w:rsidRDefault="00F71267" w:rsidP="00312E1C">
      <w:pPr>
        <w:pStyle w:val="ListParagraph"/>
        <w:numPr>
          <w:ilvl w:val="0"/>
          <w:numId w:val="4"/>
        </w:numPr>
        <w:spacing w:line="360" w:lineRule="auto"/>
        <w:ind w:hanging="720"/>
        <w:rPr>
          <w:b/>
          <w:bCs/>
          <w:color w:val="1F497D"/>
        </w:rPr>
      </w:pPr>
      <w:r>
        <w:rPr>
          <w:color w:val="1F497D"/>
          <w:lang w:val="en"/>
        </w:rPr>
        <w:t>Foras na Gaeilge logo and name will be distinctly visible at all times in any publicity, publications and internet sites and the organisation will give appropriate recognition to Foras na Gaeilge for the funding.</w:t>
      </w:r>
    </w:p>
    <w:p w14:paraId="41DAA6D5" w14:textId="77777777" w:rsidR="00183D85" w:rsidRDefault="00963D81" w:rsidP="00183D85">
      <w:pPr>
        <w:pStyle w:val="ListParagraph"/>
        <w:numPr>
          <w:ilvl w:val="0"/>
          <w:numId w:val="1"/>
        </w:numPr>
        <w:spacing w:line="360" w:lineRule="auto"/>
        <w:ind w:hanging="720"/>
        <w:rPr>
          <w:color w:val="1F497D"/>
        </w:rPr>
      </w:pPr>
      <w:r>
        <w:rPr>
          <w:color w:val="1F497D"/>
          <w:lang w:val="en"/>
        </w:rPr>
        <w:t xml:space="preserve">The organisation will establish a link on its own site to the Foras na Gaeilge master site </w:t>
      </w:r>
      <w:hyperlink r:id="rId8" w:history="1">
        <w:r>
          <w:rPr>
            <w:rStyle w:val="Hyperlink"/>
            <w:lang w:val="en"/>
          </w:rPr>
          <w:t>www.forasnagaeilge.ie</w:t>
        </w:r>
      </w:hyperlink>
      <w:r>
        <w:rPr>
          <w:color w:val="1F497D"/>
          <w:lang w:val="en"/>
        </w:rPr>
        <w:t xml:space="preserve"> and a link to </w:t>
      </w:r>
      <w:hyperlink r:id="rId9" w:history="1">
        <w:r>
          <w:rPr>
            <w:rStyle w:val="Hyperlink"/>
            <w:lang w:val="en"/>
          </w:rPr>
          <w:t>www.gaeilge.ie</w:t>
        </w:r>
      </w:hyperlink>
      <w:r>
        <w:rPr>
          <w:color w:val="1F497D"/>
          <w:u w:val="single"/>
          <w:lang w:val="en"/>
        </w:rPr>
        <w:t>.</w:t>
      </w:r>
      <w:r>
        <w:rPr>
          <w:color w:val="1F497D"/>
          <w:lang w:val="en"/>
        </w:rPr>
        <w:t xml:space="preserve"> They will agree style criteria in regard to giving recognition to Foras na Gaeilge.</w:t>
      </w:r>
    </w:p>
    <w:p w14:paraId="7C3F19BC" w14:textId="77777777" w:rsidR="00183D85" w:rsidRPr="00183D85" w:rsidRDefault="00183D85" w:rsidP="00183D85">
      <w:pPr>
        <w:pStyle w:val="ListParagraph"/>
        <w:numPr>
          <w:ilvl w:val="0"/>
          <w:numId w:val="1"/>
        </w:numPr>
        <w:spacing w:line="360" w:lineRule="auto"/>
        <w:ind w:hanging="720"/>
        <w:rPr>
          <w:color w:val="1F497D"/>
        </w:rPr>
      </w:pPr>
      <w:r>
        <w:rPr>
          <w:color w:val="1F497D"/>
          <w:lang w:val="en"/>
        </w:rPr>
        <w:t xml:space="preserve">The organisation will cooperate with Foras na Gaeilge on social media in regard to publicity. They will tag Foras na Gaeilge accounts on Twitter, Facebook, Instagram and Linkedin, and the organisation will send an email to </w:t>
      </w:r>
      <w:hyperlink r:id="rId10" w:history="1">
        <w:r>
          <w:rPr>
            <w:rStyle w:val="Hyperlink"/>
            <w:lang w:val="en"/>
          </w:rPr>
          <w:t>feasacht@forasnagaeilge.ie</w:t>
        </w:r>
      </w:hyperlink>
      <w:r>
        <w:rPr>
          <w:color w:val="1F497D"/>
          <w:lang w:val="en"/>
        </w:rPr>
        <w:t xml:space="preserve"> in regard to cooperation on particular organisations on social media.</w:t>
      </w:r>
    </w:p>
    <w:p w14:paraId="1BCB31C4" w14:textId="77777777" w:rsidR="00F540ED" w:rsidRPr="00183D85" w:rsidRDefault="007303BC" w:rsidP="00312E1C">
      <w:pPr>
        <w:pStyle w:val="ListParagraph"/>
        <w:numPr>
          <w:ilvl w:val="0"/>
          <w:numId w:val="1"/>
        </w:numPr>
        <w:spacing w:line="360" w:lineRule="auto"/>
        <w:ind w:hanging="720"/>
        <w:rPr>
          <w:color w:val="1F497D"/>
        </w:rPr>
      </w:pPr>
      <w:r>
        <w:rPr>
          <w:color w:val="1F497D"/>
          <w:lang w:val="en"/>
        </w:rPr>
        <w:t xml:space="preserve">The organisation will register any activity, event or class on the central information point for Irish, PEIG.ie, at this link: </w:t>
      </w:r>
      <w:hyperlink r:id="rId11" w:history="1">
        <w:r>
          <w:rPr>
            <w:rStyle w:val="Hyperlink"/>
            <w:lang w:val="en"/>
          </w:rPr>
          <w:t>https://peig.ie/claraigh-imeacht</w:t>
        </w:r>
      </w:hyperlink>
      <w:r>
        <w:rPr>
          <w:rStyle w:val="Hyperlink"/>
          <w:u w:val="none"/>
          <w:lang w:val="en"/>
        </w:rPr>
        <w:t>.</w:t>
      </w:r>
    </w:p>
    <w:p w14:paraId="5D40F867" w14:textId="77777777" w:rsidR="006304F7" w:rsidRPr="00B440AE" w:rsidRDefault="006304F7" w:rsidP="00312E1C">
      <w:pPr>
        <w:spacing w:after="0" w:line="360" w:lineRule="auto"/>
        <w:rPr>
          <w:color w:val="1F497D" w:themeColor="text2"/>
        </w:rPr>
      </w:pPr>
    </w:p>
    <w:p w14:paraId="20867D35" w14:textId="77777777" w:rsidR="006304F7" w:rsidRPr="002C6A08" w:rsidRDefault="006304F7" w:rsidP="00312E1C">
      <w:pPr>
        <w:spacing w:after="0" w:line="360" w:lineRule="auto"/>
        <w:rPr>
          <w:b/>
          <w:color w:val="1F497D" w:themeColor="text2"/>
        </w:rPr>
      </w:pPr>
      <w:r>
        <w:rPr>
          <w:b/>
          <w:bCs/>
          <w:color w:val="1F497D" w:themeColor="text2"/>
          <w:lang w:val="en"/>
        </w:rPr>
        <w:t>Monitoring</w:t>
      </w:r>
    </w:p>
    <w:p w14:paraId="627E2268"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Foras na Gaeilge will be allowed to carry out an evaluation, at any reasonable time, of the implementation of the programme of work and of the funding value of the approved grant.</w:t>
      </w:r>
    </w:p>
    <w:p w14:paraId="1BFAECEA"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The organisation will keep accounts and records of the expenditure of the grant for seven years from the date Foras na Gaeilge will pay the final portion of the grant.</w:t>
      </w:r>
    </w:p>
    <w:p w14:paraId="045F8D86"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Foras na Gaeilge and its agents and the Office of the Comptroller and Auditor General (north and south) be allowed to examine those accounts and records at any reasonable time.</w:t>
      </w:r>
    </w:p>
    <w:p w14:paraId="60C51037" w14:textId="77777777" w:rsidR="006304F7" w:rsidRPr="00B440AE" w:rsidRDefault="006304F7" w:rsidP="00312E1C">
      <w:pPr>
        <w:spacing w:after="0" w:line="360" w:lineRule="auto"/>
        <w:ind w:left="709" w:hanging="709"/>
        <w:rPr>
          <w:color w:val="1F497D" w:themeColor="text2"/>
        </w:rPr>
      </w:pPr>
      <w:r>
        <w:rPr>
          <w:color w:val="1F497D" w:themeColor="text2"/>
          <w:lang w:val="en"/>
        </w:rPr>
        <w:t>•</w:t>
      </w:r>
      <w:r>
        <w:rPr>
          <w:color w:val="1F497D" w:themeColor="text2"/>
          <w:lang w:val="en"/>
        </w:rPr>
        <w:tab/>
        <w:t xml:space="preserve">The organisation will provide audited accounts for the year just ended in a timely fashion.  </w:t>
      </w:r>
    </w:p>
    <w:p w14:paraId="030BF336"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Foras na Gaeilge be allowed to recall any part of the grant paid if the grant is misused.</w:t>
      </w:r>
    </w:p>
    <w:p w14:paraId="7C7E214D" w14:textId="77777777" w:rsidR="006304F7" w:rsidRPr="00B440AE" w:rsidRDefault="006304F7" w:rsidP="00312E1C">
      <w:pPr>
        <w:spacing w:after="0" w:line="360" w:lineRule="auto"/>
        <w:ind w:left="720" w:hanging="720"/>
        <w:rPr>
          <w:color w:val="1F497D" w:themeColor="text2"/>
        </w:rPr>
      </w:pPr>
      <w:r>
        <w:rPr>
          <w:color w:val="1F497D" w:themeColor="text2"/>
          <w:lang w:val="en"/>
        </w:rPr>
        <w:t>•</w:t>
      </w:r>
      <w:r>
        <w:rPr>
          <w:color w:val="1F497D" w:themeColor="text2"/>
          <w:lang w:val="en"/>
        </w:rPr>
        <w:tab/>
        <w:t xml:space="preserve">Foras na Gaeilge be allowed to cancel any part of the grant not paid if the organisation violates any of the above terms and conditions without official approval, in the opinion of Foras na </w:t>
      </w:r>
      <w:r w:rsidRPr="00BC3A77">
        <w:rPr>
          <w:color w:val="1F497D" w:themeColor="text2"/>
          <w:lang w:val="en"/>
        </w:rPr>
        <w:t>Gaeilge</w:t>
      </w:r>
      <w:r>
        <w:rPr>
          <w:color w:val="1F497D" w:themeColor="text2"/>
          <w:lang w:val="en"/>
        </w:rPr>
        <w:t>, except if they come to an agreement to the satisfaction of Foras na Gaeilge.</w:t>
      </w:r>
    </w:p>
    <w:p w14:paraId="0DD07A25" w14:textId="77777777" w:rsidR="006276BE" w:rsidRPr="00865585" w:rsidRDefault="006276BE"/>
    <w:sectPr w:rsidR="006276BE" w:rsidRPr="008655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D218" w14:textId="77777777" w:rsidR="00BC3A77" w:rsidRDefault="00BC3A77" w:rsidP="00BC3A77">
      <w:pPr>
        <w:spacing w:after="0" w:line="240" w:lineRule="auto"/>
      </w:pPr>
      <w:r>
        <w:separator/>
      </w:r>
    </w:p>
  </w:endnote>
  <w:endnote w:type="continuationSeparator" w:id="0">
    <w:p w14:paraId="39C95E19" w14:textId="77777777" w:rsidR="00BC3A77" w:rsidRDefault="00BC3A77" w:rsidP="00B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8887" w14:textId="77777777" w:rsidR="00BC3A77" w:rsidRDefault="00BC3A77" w:rsidP="00BC3A77">
      <w:pPr>
        <w:spacing w:after="0" w:line="240" w:lineRule="auto"/>
      </w:pPr>
      <w:r>
        <w:separator/>
      </w:r>
    </w:p>
  </w:footnote>
  <w:footnote w:type="continuationSeparator" w:id="0">
    <w:p w14:paraId="0B8480A3" w14:textId="77777777" w:rsidR="00BC3A77" w:rsidRDefault="00BC3A77" w:rsidP="00BC3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10590"/>
    <w:multiLevelType w:val="hybridMultilevel"/>
    <w:tmpl w:val="09BE3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6D0DEC"/>
    <w:multiLevelType w:val="hybridMultilevel"/>
    <w:tmpl w:val="3B604540"/>
    <w:lvl w:ilvl="0" w:tplc="29CE2E6C">
      <w:start w:val="1"/>
      <w:numFmt w:val="lowerRoman"/>
      <w:lvlText w:val="%1."/>
      <w:lvlJc w:val="left"/>
      <w:pPr>
        <w:ind w:left="1996" w:hanging="720"/>
      </w:pPr>
      <w:rPr>
        <w:rFonts w:asciiTheme="minorHAnsi" w:eastAsiaTheme="minorHAnsi" w:hAnsiTheme="minorHAnsi" w:cstheme="minorBidi"/>
      </w:rPr>
    </w:lvl>
    <w:lvl w:ilvl="1" w:tplc="083C0019" w:tentative="1">
      <w:start w:val="1"/>
      <w:numFmt w:val="lowerLetter"/>
      <w:lvlText w:val="%2."/>
      <w:lvlJc w:val="left"/>
      <w:pPr>
        <w:ind w:left="2356" w:hanging="360"/>
      </w:pPr>
    </w:lvl>
    <w:lvl w:ilvl="2" w:tplc="083C001B" w:tentative="1">
      <w:start w:val="1"/>
      <w:numFmt w:val="lowerRoman"/>
      <w:lvlText w:val="%3."/>
      <w:lvlJc w:val="right"/>
      <w:pPr>
        <w:ind w:left="3076" w:hanging="180"/>
      </w:pPr>
    </w:lvl>
    <w:lvl w:ilvl="3" w:tplc="083C000F" w:tentative="1">
      <w:start w:val="1"/>
      <w:numFmt w:val="decimal"/>
      <w:lvlText w:val="%4."/>
      <w:lvlJc w:val="left"/>
      <w:pPr>
        <w:ind w:left="3796" w:hanging="360"/>
      </w:pPr>
    </w:lvl>
    <w:lvl w:ilvl="4" w:tplc="083C0019" w:tentative="1">
      <w:start w:val="1"/>
      <w:numFmt w:val="lowerLetter"/>
      <w:lvlText w:val="%5."/>
      <w:lvlJc w:val="left"/>
      <w:pPr>
        <w:ind w:left="4516" w:hanging="360"/>
      </w:pPr>
    </w:lvl>
    <w:lvl w:ilvl="5" w:tplc="083C001B" w:tentative="1">
      <w:start w:val="1"/>
      <w:numFmt w:val="lowerRoman"/>
      <w:lvlText w:val="%6."/>
      <w:lvlJc w:val="right"/>
      <w:pPr>
        <w:ind w:left="5236" w:hanging="180"/>
      </w:pPr>
    </w:lvl>
    <w:lvl w:ilvl="6" w:tplc="083C000F" w:tentative="1">
      <w:start w:val="1"/>
      <w:numFmt w:val="decimal"/>
      <w:lvlText w:val="%7."/>
      <w:lvlJc w:val="left"/>
      <w:pPr>
        <w:ind w:left="5956" w:hanging="360"/>
      </w:pPr>
    </w:lvl>
    <w:lvl w:ilvl="7" w:tplc="083C0019" w:tentative="1">
      <w:start w:val="1"/>
      <w:numFmt w:val="lowerLetter"/>
      <w:lvlText w:val="%8."/>
      <w:lvlJc w:val="left"/>
      <w:pPr>
        <w:ind w:left="6676" w:hanging="360"/>
      </w:pPr>
    </w:lvl>
    <w:lvl w:ilvl="8" w:tplc="083C001B" w:tentative="1">
      <w:start w:val="1"/>
      <w:numFmt w:val="lowerRoman"/>
      <w:lvlText w:val="%9."/>
      <w:lvlJc w:val="right"/>
      <w:pPr>
        <w:ind w:left="7396" w:hanging="180"/>
      </w:pPr>
    </w:lvl>
  </w:abstractNum>
  <w:abstractNum w:abstractNumId="2" w15:restartNumberingAfterBreak="0">
    <w:nsid w:val="646A0003"/>
    <w:multiLevelType w:val="hybridMultilevel"/>
    <w:tmpl w:val="6A42BE8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3" w15:restartNumberingAfterBreak="0">
    <w:nsid w:val="6B387EC6"/>
    <w:multiLevelType w:val="hybridMultilevel"/>
    <w:tmpl w:val="9D900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7956069">
    <w:abstractNumId w:val="2"/>
  </w:num>
  <w:num w:numId="2" w16cid:durableId="1543635176">
    <w:abstractNumId w:val="3"/>
  </w:num>
  <w:num w:numId="3" w16cid:durableId="280696484">
    <w:abstractNumId w:val="3"/>
  </w:num>
  <w:num w:numId="4" w16cid:durableId="1280381115">
    <w:abstractNumId w:val="0"/>
  </w:num>
  <w:num w:numId="5" w16cid:durableId="66224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AB6"/>
    <w:rsid w:val="0001362F"/>
    <w:rsid w:val="000301F4"/>
    <w:rsid w:val="000E33B6"/>
    <w:rsid w:val="00176AB6"/>
    <w:rsid w:val="00183D85"/>
    <w:rsid w:val="001A075C"/>
    <w:rsid w:val="00202E6C"/>
    <w:rsid w:val="002C6A08"/>
    <w:rsid w:val="00312E1C"/>
    <w:rsid w:val="00363412"/>
    <w:rsid w:val="00381E40"/>
    <w:rsid w:val="003A6D32"/>
    <w:rsid w:val="00477654"/>
    <w:rsid w:val="004F271A"/>
    <w:rsid w:val="005300AD"/>
    <w:rsid w:val="00575DE2"/>
    <w:rsid w:val="005934D4"/>
    <w:rsid w:val="006276BE"/>
    <w:rsid w:val="006304F7"/>
    <w:rsid w:val="00670A5B"/>
    <w:rsid w:val="00676612"/>
    <w:rsid w:val="006D1FC8"/>
    <w:rsid w:val="007303BC"/>
    <w:rsid w:val="007A3D11"/>
    <w:rsid w:val="0081193B"/>
    <w:rsid w:val="00865585"/>
    <w:rsid w:val="008C04E4"/>
    <w:rsid w:val="00963D81"/>
    <w:rsid w:val="009E19F4"/>
    <w:rsid w:val="00A504C7"/>
    <w:rsid w:val="00B07745"/>
    <w:rsid w:val="00BC3526"/>
    <w:rsid w:val="00BC3A77"/>
    <w:rsid w:val="00C306F6"/>
    <w:rsid w:val="00DC66AA"/>
    <w:rsid w:val="00E906B5"/>
    <w:rsid w:val="00F05787"/>
    <w:rsid w:val="00F05B77"/>
    <w:rsid w:val="00F540ED"/>
    <w:rsid w:val="00F71267"/>
    <w:rsid w:val="00F93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FB31"/>
  <w15:docId w15:val="{8FEBE799-AFAE-40FC-AA63-CB1071B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0ED"/>
    <w:rPr>
      <w:color w:val="0000FF"/>
      <w:u w:val="single"/>
    </w:rPr>
  </w:style>
  <w:style w:type="paragraph" w:styleId="ListParagraph">
    <w:name w:val="List Paragraph"/>
    <w:basedOn w:val="Normal"/>
    <w:uiPriority w:val="34"/>
    <w:qFormat/>
    <w:rsid w:val="00F540E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65585"/>
    <w:rPr>
      <w:sz w:val="16"/>
      <w:szCs w:val="16"/>
    </w:rPr>
  </w:style>
  <w:style w:type="paragraph" w:styleId="CommentText">
    <w:name w:val="annotation text"/>
    <w:basedOn w:val="Normal"/>
    <w:link w:val="CommentTextChar"/>
    <w:uiPriority w:val="99"/>
    <w:semiHidden/>
    <w:unhideWhenUsed/>
    <w:rsid w:val="00865585"/>
    <w:pPr>
      <w:spacing w:line="240" w:lineRule="auto"/>
    </w:pPr>
    <w:rPr>
      <w:sz w:val="20"/>
      <w:szCs w:val="20"/>
    </w:rPr>
  </w:style>
  <w:style w:type="character" w:customStyle="1" w:styleId="CommentTextChar">
    <w:name w:val="Comment Text Char"/>
    <w:basedOn w:val="DefaultParagraphFont"/>
    <w:link w:val="CommentText"/>
    <w:uiPriority w:val="99"/>
    <w:semiHidden/>
    <w:rsid w:val="00865585"/>
    <w:rPr>
      <w:sz w:val="20"/>
      <w:szCs w:val="20"/>
    </w:rPr>
  </w:style>
  <w:style w:type="paragraph" w:styleId="CommentSubject">
    <w:name w:val="annotation subject"/>
    <w:basedOn w:val="CommentText"/>
    <w:next w:val="CommentText"/>
    <w:link w:val="CommentSubjectChar"/>
    <w:uiPriority w:val="99"/>
    <w:semiHidden/>
    <w:unhideWhenUsed/>
    <w:rsid w:val="00865585"/>
    <w:rPr>
      <w:b/>
      <w:bCs/>
    </w:rPr>
  </w:style>
  <w:style w:type="character" w:customStyle="1" w:styleId="CommentSubjectChar">
    <w:name w:val="Comment Subject Char"/>
    <w:basedOn w:val="CommentTextChar"/>
    <w:link w:val="CommentSubject"/>
    <w:uiPriority w:val="99"/>
    <w:semiHidden/>
    <w:rsid w:val="00865585"/>
    <w:rPr>
      <w:b/>
      <w:bCs/>
      <w:sz w:val="20"/>
      <w:szCs w:val="20"/>
    </w:rPr>
  </w:style>
  <w:style w:type="paragraph" w:styleId="Revision">
    <w:name w:val="Revision"/>
    <w:hidden/>
    <w:uiPriority w:val="99"/>
    <w:semiHidden/>
    <w:rsid w:val="00865585"/>
    <w:pPr>
      <w:spacing w:after="0" w:line="240" w:lineRule="auto"/>
    </w:pPr>
  </w:style>
  <w:style w:type="paragraph" w:styleId="BalloonText">
    <w:name w:val="Balloon Text"/>
    <w:basedOn w:val="Normal"/>
    <w:link w:val="BalloonTextChar"/>
    <w:uiPriority w:val="99"/>
    <w:semiHidden/>
    <w:unhideWhenUsed/>
    <w:rsid w:val="0086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85"/>
    <w:rPr>
      <w:rFonts w:ascii="Tahoma" w:hAnsi="Tahoma" w:cs="Tahoma"/>
      <w:sz w:val="16"/>
      <w:szCs w:val="16"/>
    </w:rPr>
  </w:style>
  <w:style w:type="paragraph" w:styleId="EndnoteText">
    <w:name w:val="endnote text"/>
    <w:basedOn w:val="Normal"/>
    <w:link w:val="EndnoteTextChar"/>
    <w:uiPriority w:val="99"/>
    <w:semiHidden/>
    <w:unhideWhenUsed/>
    <w:rsid w:val="00BC3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A77"/>
    <w:rPr>
      <w:sz w:val="20"/>
      <w:szCs w:val="20"/>
    </w:rPr>
  </w:style>
  <w:style w:type="character" w:styleId="EndnoteReference">
    <w:name w:val="endnote reference"/>
    <w:basedOn w:val="DefaultParagraphFont"/>
    <w:uiPriority w:val="99"/>
    <w:semiHidden/>
    <w:unhideWhenUsed/>
    <w:rsid w:val="00BC3A77"/>
    <w:rPr>
      <w:vertAlign w:val="superscript"/>
    </w:rPr>
  </w:style>
  <w:style w:type="table" w:styleId="TableGrid">
    <w:name w:val="Table Grid"/>
    <w:basedOn w:val="TableNormal"/>
    <w:uiPriority w:val="59"/>
    <w:rsid w:val="005300AD"/>
    <w:pPr>
      <w:spacing w:after="0" w:line="240" w:lineRule="auto"/>
    </w:pPr>
    <w:rPr>
      <w:lang w:val="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9746">
      <w:bodyDiv w:val="1"/>
      <w:marLeft w:val="0"/>
      <w:marRight w:val="0"/>
      <w:marTop w:val="0"/>
      <w:marBottom w:val="0"/>
      <w:divBdr>
        <w:top w:val="none" w:sz="0" w:space="0" w:color="auto"/>
        <w:left w:val="none" w:sz="0" w:space="0" w:color="auto"/>
        <w:bottom w:val="none" w:sz="0" w:space="0" w:color="auto"/>
        <w:right w:val="none" w:sz="0" w:space="0" w:color="auto"/>
      </w:divBdr>
    </w:div>
    <w:div w:id="1111587059">
      <w:bodyDiv w:val="1"/>
      <w:marLeft w:val="0"/>
      <w:marRight w:val="0"/>
      <w:marTop w:val="0"/>
      <w:marBottom w:val="0"/>
      <w:divBdr>
        <w:top w:val="none" w:sz="0" w:space="0" w:color="auto"/>
        <w:left w:val="none" w:sz="0" w:space="0" w:color="auto"/>
        <w:bottom w:val="none" w:sz="0" w:space="0" w:color="auto"/>
        <w:right w:val="none" w:sz="0" w:space="0" w:color="auto"/>
      </w:divBdr>
    </w:div>
    <w:div w:id="1470054033">
      <w:bodyDiv w:val="1"/>
      <w:marLeft w:val="0"/>
      <w:marRight w:val="0"/>
      <w:marTop w:val="0"/>
      <w:marBottom w:val="0"/>
      <w:divBdr>
        <w:top w:val="none" w:sz="0" w:space="0" w:color="auto"/>
        <w:left w:val="none" w:sz="0" w:space="0" w:color="auto"/>
        <w:bottom w:val="none" w:sz="0" w:space="0" w:color="auto"/>
        <w:right w:val="none" w:sz="0" w:space="0" w:color="auto"/>
      </w:divBdr>
    </w:div>
    <w:div w:id="16720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asnagaeilg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ig.ie/claraigh-imeacht" TargetMode="External"/><Relationship Id="rId5" Type="http://schemas.openxmlformats.org/officeDocument/2006/relationships/webSettings" Target="webSettings.xml"/><Relationship Id="rId10" Type="http://schemas.openxmlformats.org/officeDocument/2006/relationships/hyperlink" Target="mailto:feasacht@forasnagaeilge.ie" TargetMode="External"/><Relationship Id="rId4" Type="http://schemas.openxmlformats.org/officeDocument/2006/relationships/settings" Target="settings.xml"/><Relationship Id="rId9" Type="http://schemas.openxmlformats.org/officeDocument/2006/relationships/hyperlink" Target="http://www.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3137-2C6F-4AF1-A4B2-FCC3E9C8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Caitlín Ní Chonghaile</cp:lastModifiedBy>
  <cp:revision>12</cp:revision>
  <dcterms:created xsi:type="dcterms:W3CDTF">2020-07-23T10:19:00Z</dcterms:created>
  <dcterms:modified xsi:type="dcterms:W3CDTF">2024-03-04T10:10:00Z</dcterms:modified>
</cp:coreProperties>
</file>